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wmf" ContentType="image/x-wmf"/>
  <Override PartName="/word/media/image3.wmf" ContentType="image/x-wmf"/>
  <Override PartName="/word/media/image4.wmf" ContentType="image/x-wmf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4"/>
        </w:rPr>
      </w:pPr>
      <w:bookmarkStart w:id="0" w:name="_Toc46743519"/>
      <w:bookmarkStart w:id="1" w:name="_Toc51339699"/>
      <w:bookmarkStart w:id="2" w:name="_GoBack"/>
      <w:bookmarkEnd w:id="0"/>
      <w:bookmarkEnd w:id="1"/>
      <w:bookmarkEnd w:id="2"/>
      <w:r>
        <w:rPr>
          <w:bCs/>
          <w:sz w:val="24"/>
          <w:szCs w:val="24"/>
        </w:rPr>
        <w:t>Приложение № </w:t>
      </w:r>
      <w:r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к Техническим требованиям</w:t>
      </w:r>
    </w:p>
    <w:p>
      <w:pPr>
        <w:pStyle w:val="Normal"/>
        <w:shd w:val="clear" w:color="auto" w:fill="FFFFFF"/>
        <w:tabs>
          <w:tab w:val="clear" w:pos="708"/>
          <w:tab w:val="left" w:pos="993" w:leader="none"/>
        </w:tabs>
        <w:spacing w:lineRule="auto" w:line="276"/>
        <w:ind w:firstLine="567"/>
        <w:jc w:val="both"/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</w:p>
    <w:p>
      <w:pPr>
        <w:pStyle w:val="Normal"/>
        <w:jc w:val="both"/>
        <w:rPr>
          <w:b/>
          <w:sz w:val="22"/>
          <w:szCs w:val="22"/>
        </w:rPr>
      </w:pPr>
      <w:bookmarkStart w:id="3" w:name="RANGE!A1%253AD25"/>
      <w:bookmarkStart w:id="4" w:name="_Toc46743519_Копия_1"/>
      <w:bookmarkStart w:id="5" w:name="_Toc51339699_Копия_1"/>
      <w:bookmarkEnd w:id="3"/>
      <w:bookmarkEnd w:id="4"/>
      <w:bookmarkEnd w:id="5"/>
      <w:r>
        <w:rPr>
          <w:b/>
          <w:sz w:val="22"/>
          <w:szCs w:val="22"/>
        </w:rPr>
        <w:t>Требования к составлению сметной документации: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cs="Times New Roman"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2021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сметной документации необходимо использовать сметно-нормативную базу «ФСНБ 2022» (с изм1-17) в ценах 1 квартала 202</w:t>
      </w:r>
      <w:r>
        <w:rPr>
          <w:rFonts w:cs="Times New Roman" w:ascii="Times New Roman" w:hAnsi="Times New Roman"/>
          <w:sz w:val="22"/>
          <w:szCs w:val="22"/>
        </w:rPr>
        <w:t>6</w:t>
      </w:r>
      <w:r>
        <w:rPr>
          <w:rFonts w:cs="Times New Roman" w:ascii="Times New Roman" w:hAnsi="Times New Roman"/>
          <w:sz w:val="22"/>
          <w:szCs w:val="22"/>
        </w:rPr>
        <w:t>г.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возможно следующими методами</w:t>
      </w:r>
      <w:r>
        <w:rPr>
          <w:rFonts w:cs="Times New Roman" w:ascii="Times New Roman" w:hAnsi="Times New Roman"/>
          <w:b/>
          <w:sz w:val="22"/>
          <w:szCs w:val="22"/>
        </w:rPr>
        <w:t>:</w:t>
      </w:r>
    </w:p>
    <w:p>
      <w:pPr>
        <w:pStyle w:val="ConsPlusNormal1"/>
        <w:widowControl/>
        <w:numPr>
          <w:ilvl w:val="1"/>
          <w:numId w:val="6"/>
        </w:numPr>
        <w:tabs>
          <w:tab w:val="clear" w:pos="708"/>
          <w:tab w:val="left" w:pos="284" w:leader="none"/>
          <w:tab w:val="left" w:pos="993" w:leader="none"/>
          <w:tab w:val="left" w:pos="1277" w:leader="none"/>
        </w:tabs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Ресурсно-индексным - </w:t>
      </w:r>
      <w:r>
        <w:rPr>
          <w:rFonts w:cs="Times New Roman" w:ascii="Times New Roman" w:hAnsi="Times New Roman"/>
          <w:sz w:val="22"/>
          <w:szCs w:val="22"/>
        </w:rPr>
        <w:t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ресурсно-индексного метода, приводится в локальных сметных расчетах (далее – ЛСР), локальных сметах (далее -ЛС) в двух уровнях цен: базисном и текущем. Индексы перевода в текущие цены учитывать по данным ФГИС, публикуемых на момент составления сметной документации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случае </w:t>
      </w:r>
      <w:r>
        <w:rPr>
          <w:rFonts w:cs="Times New Roman" w:ascii="Times New Roman" w:hAnsi="Times New Roman"/>
          <w:i/>
          <w:sz w:val="22"/>
          <w:szCs w:val="22"/>
        </w:rPr>
        <w:t>отсутствия</w:t>
      </w:r>
      <w:r>
        <w:rPr>
          <w:rFonts w:cs="Times New Roman" w:ascii="Times New Roman" w:hAnsi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4"/>
          <w:szCs w:val="24"/>
          <w:highlight w:val="white"/>
        </w:rPr>
        <w:t xml:space="preserve">Сметная </w:t>
      </w:r>
      <w:r>
        <w:rPr>
          <w:rFonts w:cs="Times New Roman" w:ascii="Times New Roman" w:hAnsi="Times New Roman"/>
          <w:color w:val="000000"/>
          <w:sz w:val="24"/>
          <w:szCs w:val="24"/>
        </w:rPr>
        <w:t>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по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  <w:t xml:space="preserve">При отсутствии </w:t>
      </w:r>
      <w:r>
        <w:rPr>
          <w:rFonts w:cs="Times New Roman" w:ascii="Times New Roman" w:hAnsi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 Методом анализа ТКП.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11.1. </w:t>
      </w: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Методом анализа </w:t>
      </w:r>
      <w:r>
        <w:rPr>
          <w:rFonts w:cs="Times New Roman" w:ascii="Times New Roman" w:hAnsi="Times New Roman"/>
          <w:sz w:val="22"/>
          <w:szCs w:val="22"/>
          <w:highlight w:val="white"/>
        </w:rPr>
        <w:t>ТКП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8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11.2.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99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ТКП.</w:t>
      </w:r>
    </w:p>
    <w:p>
      <w:pPr>
        <w:pStyle w:val="ListParagraph"/>
        <w:numPr>
          <w:ilvl w:val="0"/>
          <w:numId w:val="6"/>
        </w:numPr>
        <w:tabs>
          <w:tab w:val="clear" w:pos="708"/>
        </w:tabs>
        <w:ind w:left="0" w:firstLine="993"/>
        <w:jc w:val="both"/>
        <w:rPr/>
      </w:pPr>
      <w:r>
        <w:rPr/>
        <w:t>По предоставляемым грузоподъемным механизмам, учтенным в составе сметных норм и расценок:</w:t>
      </w:r>
    </w:p>
    <w:p>
      <w:pPr>
        <w:pStyle w:val="ListParagraph"/>
        <w:ind w:left="0" w:firstLine="993"/>
        <w:jc w:val="both"/>
        <w:rPr/>
      </w:pPr>
      <w:r>
        <w:rPr/>
        <w:t>•</w:t>
      </w:r>
      <w:r>
        <w:rPr/>
        <w:tab/>
        <w:t xml:space="preserve">Исключать из норм и расценок предоставляемые грузоподъемные механизмы. </w:t>
      </w:r>
    </w:p>
    <w:p>
      <w:pPr>
        <w:pStyle w:val="ListParagraph"/>
        <w:ind w:left="0" w:firstLine="993"/>
        <w:jc w:val="both"/>
        <w:rPr/>
      </w:pPr>
      <w:r>
        <w:rPr/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Резерв средств на непредвиденные работы </w:t>
      </w:r>
      <w:r>
        <w:rPr>
          <w:rFonts w:cs="Times New Roman" w:ascii="Times New Roman" w:hAnsi="Times New Roman"/>
          <w:sz w:val="22"/>
          <w:szCs w:val="22"/>
        </w:rPr>
        <w:t>3</w:t>
      </w:r>
      <w:r>
        <w:rPr>
          <w:rFonts w:cs="Times New Roman" w:ascii="Times New Roman" w:hAnsi="Times New Roman"/>
          <w:sz w:val="22"/>
          <w:szCs w:val="22"/>
        </w:rPr>
        <w:t>%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709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формировании цены по сборникам ГЭСН (ГЭСНр, ГЭСНм, ГЭСНп) нормативы сметной</w:t>
      </w:r>
      <w:r>
        <w:rPr/>
        <w:t xml:space="preserve"> </w:t>
      </w:r>
      <w:r>
        <w:rPr>
          <w:rFonts w:cs="Times New Roman" w:ascii="Times New Roman" w:hAnsi="Times New Roman"/>
          <w:sz w:val="22"/>
          <w:szCs w:val="22"/>
        </w:rPr>
        <w:t>прибыли принимать на СМР – 40% от ФОТ, на ПНР – 36% от ФОТ.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Размер командировочных расходов учитывать в размере 3,74% от итогов глав 1-9 без учета стоимости оборудования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При производстве СМР  лимиты командировочных расходов на стадии расчетов принимать в размере 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не более</w:t>
      </w:r>
      <w:r>
        <w:rPr>
          <w:rFonts w:cs="Times New Roman" w:ascii="Times New Roman" w:hAnsi="Times New Roman"/>
          <w:color w:val="000000"/>
          <w:sz w:val="22"/>
          <w:szCs w:val="22"/>
        </w:rPr>
        <w:t>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851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>
        <w:rPr>
          <w:rFonts w:cs="Times New Roman" w:ascii="Times New Roman" w:hAnsi="Times New Roman"/>
          <w:color w:val="000000"/>
          <w:sz w:val="22"/>
          <w:szCs w:val="22"/>
          <w:highlight w:val="white"/>
        </w:rPr>
        <w:t xml:space="preserve">суточные – </w:t>
      </w:r>
      <w:r>
        <w:rPr>
          <w:rFonts w:cs="Times New Roman" w:ascii="Times New Roman" w:hAnsi="Times New Roman"/>
          <w:color w:val="000000"/>
          <w:sz w:val="22"/>
          <w:szCs w:val="22"/>
          <w:highlight w:val="white"/>
        </w:rPr>
        <w:t>70</w:t>
      </w:r>
      <w:r>
        <w:rPr>
          <w:rFonts w:cs="Times New Roman" w:ascii="Times New Roman" w:hAnsi="Times New Roman"/>
          <w:color w:val="000000"/>
          <w:sz w:val="22"/>
          <w:szCs w:val="22"/>
          <w:highlight w:val="white"/>
        </w:rPr>
        <w:t>0 руб./сутки;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851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>
        <w:rPr>
          <w:rFonts w:cs="Times New Roman" w:ascii="Times New Roman" w:hAnsi="Times New Roman"/>
          <w:color w:val="000000"/>
          <w:sz w:val="22"/>
          <w:szCs w:val="22"/>
          <w:highlight w:val="white"/>
        </w:rPr>
        <w:t>проживание – 550 руб./сутки;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851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bookmarkStart w:id="6" w:name="_Hlk147744488"/>
      <w:r>
        <w:rPr>
          <w:rFonts w:cs="Times New Roman" w:ascii="Times New Roman" w:hAnsi="Times New Roman"/>
          <w:color w:val="000000"/>
          <w:sz w:val="22"/>
          <w:szCs w:val="22"/>
          <w:highlight w:val="white"/>
        </w:rPr>
        <w:t>проезд: поезд (купе) или самолет (класс–эконом с багажом до 20 (двадцати) кг, ручная кладь до 10 (десяти) кг).</w:t>
      </w:r>
      <w:bookmarkEnd w:id="6"/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7" w:name="_Ref19086149"/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End w:id="7"/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2"/>
          <w:szCs w:val="22"/>
        </w:rPr>
        <w:t>в 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2"/>
          <w:szCs w:val="22"/>
        </w:rPr>
        <w:t>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Выходные формы сметных расчетов должны соответствовать Образцам по приложениям 1.5.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ConsPlusNormal1"/>
        <w:widowControl/>
        <w:numPr>
          <w:ilvl w:val="1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 xml:space="preserve"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8). 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>Индекс пересчета в текущие цены применять аналогичный примененному в сметной документации.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567" w:leader="none"/>
          <w:tab w:val="left" w:pos="851" w:leader="none"/>
          <w:tab w:val="left" w:pos="1701" w:leader="none"/>
        </w:tabs>
        <w:spacing w:before="40" w:after="40"/>
        <w:ind w:left="0" w:firstLine="709"/>
        <w:contextualSpacing w:val="false"/>
        <w:jc w:val="both"/>
        <w:rPr/>
      </w:pPr>
      <w:r>
        <w:rPr/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before="40" w:after="40"/>
        <w:ind w:left="-142" w:firstLine="709"/>
        <w:contextualSpacing w:val="false"/>
        <w:jc w:val="both"/>
        <w:rPr>
          <w:color w:val="000000"/>
        </w:rPr>
      </w:pPr>
      <w:r>
        <w:rPr>
          <w:color w:val="000000"/>
        </w:rPr>
        <w:t xml:space="preserve">При наличии двух и более сметных расчетов составлять ССР в текущем уровне цен. 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  <w:szCs w:val="22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 к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к Требования к составлению сметной документации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. 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  <w:szCs w:val="22"/>
        </w:rPr>
        <w:t>в рублях с округлением до двух знаков после запятой. Величину НДС не указывать.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before="40" w:after="40"/>
        <w:ind w:left="0" w:firstLine="709"/>
        <w:contextualSpacing w:val="false"/>
        <w:jc w:val="both"/>
        <w:rPr/>
      </w:pPr>
      <w:r>
        <w:rPr/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 к составлению сметной документации;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ind w:left="5811" w:hanging="0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</w:p>
    <w:tbl>
      <w:tblPr>
        <w:tblStyle w:val="af4"/>
        <w:tblW w:w="98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42"/>
      </w:tblGrid>
      <w:tr>
        <w:trPr/>
        <w:tc>
          <w:tcPr>
            <w:tcW w:w="984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>
              <w:rPr/>
              <w:drawing>
                <wp:inline distT="0" distB="0" distL="0" distR="0">
                  <wp:extent cx="6390005" cy="5301615"/>
                  <wp:effectExtent l="0" t="0" r="0" b="0"/>
                  <wp:docPr id="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0005" cy="530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ect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ListParagraph"/>
        <w:ind w:left="928" w:right="666" w:hanging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cs="Times New Roman" w:ascii="Times New Roman" w:hAnsi="Times New Roman"/>
          <w:sz w:val="22"/>
          <w:szCs w:val="22"/>
        </w:rPr>
        <w:t xml:space="preserve">к Требования к составлению сметной документации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5"/>
        <w:gridCol w:w="1930"/>
        <w:gridCol w:w="15"/>
        <w:gridCol w:w="293"/>
        <w:gridCol w:w="1667"/>
        <w:gridCol w:w="9"/>
        <w:gridCol w:w="116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951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№ _________ от ______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5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5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"______" ____________________ 20__ г.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256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 без НДС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203" w:type="dxa"/>
            <w:gridSpan w:val="1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78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6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6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9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9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7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75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8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8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8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8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type w:val="nextPage"/>
          <w:pgSz w:orient="landscape" w:w="16838" w:h="11906"/>
          <w:pgMar w:left="425" w:right="851" w:gutter="0" w:header="0" w:top="1276" w:footer="0" w:bottom="567"/>
          <w:pgNumType w:fmt="decimal"/>
          <w:formProt w:val="false"/>
          <w:textDirection w:val="lrTb"/>
          <w:docGrid w:type="default" w:linePitch="360" w:charSpace="0"/>
        </w:sectPr>
        <w:pStyle w:val="ListParagraph"/>
        <w:ind w:left="928" w:firstLine="720"/>
        <w:rPr>
          <w:b/>
          <w:sz w:val="18"/>
          <w:szCs w:val="18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4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1" path="m0,0l-2147483645,0l-2147483645,-2147483646l0,-2147483646xe" fillcolor="white" stroked="t" o:allowincell="f" style="position:absolute;margin-left:0.05pt;margin-top:0.05pt;width:49.95pt;height:49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85.5pt;height:53.25pt;mso-wrap-distance-right:0pt" filled="f" o:ole="">
            <v:imagedata r:id="rId4" o:title=""/>
          </v:shape>
          <o:OLEObject Type="Embed" ProgID="Excel.Sheet.12" ShapeID="ole_rId3" DrawAspect="Icon" ObjectID="_441033012" r:id="rId3"/>
        </w:object>
      </w:r>
    </w:p>
    <w:p>
      <w:pPr>
        <w:pStyle w:val="Normal"/>
        <w:ind w:left="397" w:hanging="0"/>
        <w:rPr/>
      </w:pPr>
      <w:r>
        <w:rPr>
          <w:b/>
        </w:rPr>
        <w:t>ОБРАЗЕЦ</w:t>
      </w:r>
      <w:r>
        <w:rPr/>
        <w:t xml:space="preserve">             </w:t>
      </w:r>
    </w:p>
    <w:p>
      <w:pPr>
        <w:pStyle w:val="Normal"/>
        <w:ind w:left="8646" w:firstLine="720"/>
        <w:jc w:val="right"/>
        <w:rPr>
          <w:sz w:val="20"/>
          <w:szCs w:val="20"/>
        </w:rPr>
      </w:pPr>
      <w:r>
        <w:rPr/>
        <w:t xml:space="preserve"> </w:t>
      </w:r>
      <w:r>
        <w:rPr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>к Требования к составлению сметной документации в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5"/>
        <w:gridCol w:w="218"/>
        <w:gridCol w:w="840"/>
        <w:gridCol w:w="417"/>
        <w:gridCol w:w="22"/>
        <w:gridCol w:w="434"/>
        <w:gridCol w:w="439"/>
        <w:gridCol w:w="217"/>
        <w:gridCol w:w="716"/>
        <w:gridCol w:w="745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3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без НДС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60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50" w:type="dxa"/>
            <w:gridSpan w:val="18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8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ind w:left="-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стоимость, руб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828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28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6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2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type w:val="nextPage"/>
          <w:pgSz w:orient="landscape" w:w="16838" w:h="11906"/>
          <w:pgMar w:left="425" w:right="851" w:gutter="0" w:header="0" w:top="284" w:footer="0" w:bottom="709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cs="Arial"/>
          <w:sz w:val="20"/>
          <w:szCs w:val="20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5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Фигура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2" path="m0,0l-2147483645,0l-2147483645,-2147483646l0,-2147483646xe" fillcolor="white" stroked="t" o:allowincell="f" style="position:absolute;margin-left:0.05pt;margin-top:0.05pt;width:49.95pt;height:49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78pt;height:48pt;mso-wrap-distance-right:0pt" filled="f" o:ole="">
            <v:imagedata r:id="rId6" o:title=""/>
          </v:shape>
          <o:OLEObject Type="Embed" ProgID="Excel.Sheet.12" ShapeID="ole_rId5" DrawAspect="Icon" ObjectID="_15304350" r:id="rId5"/>
        </w:object>
      </w:r>
    </w:p>
    <w:p>
      <w:pPr>
        <w:pStyle w:val="Normal"/>
        <w:ind w:left="357" w:hanging="0"/>
        <w:rPr>
          <w:b/>
        </w:rPr>
      </w:pPr>
      <w:r>
        <w:rPr>
          <w:b/>
        </w:rPr>
      </w:r>
      <w:bookmarkStart w:id="8" w:name="P2528"/>
      <w:bookmarkStart w:id="9" w:name="P3258"/>
      <w:bookmarkStart w:id="10" w:name="P2506"/>
      <w:bookmarkStart w:id="11" w:name="P2522"/>
      <w:bookmarkStart w:id="12" w:name="P2523"/>
      <w:bookmarkStart w:id="13" w:name="P2524"/>
      <w:bookmarkStart w:id="14" w:name="P2525"/>
      <w:bookmarkStart w:id="15" w:name="P2526"/>
      <w:bookmarkStart w:id="16" w:name="P2529"/>
      <w:bookmarkStart w:id="17" w:name="P2530"/>
      <w:bookmarkStart w:id="18" w:name="P2531"/>
      <w:bookmarkStart w:id="19" w:name="P2546"/>
      <w:bookmarkStart w:id="20" w:name="P2566"/>
      <w:bookmarkStart w:id="21" w:name="P2616"/>
      <w:bookmarkStart w:id="22" w:name="P2736"/>
      <w:bookmarkStart w:id="23" w:name="P2746"/>
      <w:bookmarkStart w:id="24" w:name="P2945"/>
      <w:bookmarkStart w:id="25" w:name="P2527"/>
      <w:bookmarkStart w:id="26" w:name="P2528"/>
      <w:bookmarkStart w:id="27" w:name="P3258"/>
      <w:bookmarkStart w:id="28" w:name="P2506"/>
      <w:bookmarkStart w:id="29" w:name="P2522"/>
      <w:bookmarkStart w:id="30" w:name="P2523"/>
      <w:bookmarkStart w:id="31" w:name="P2524"/>
      <w:bookmarkStart w:id="32" w:name="P2525"/>
      <w:bookmarkStart w:id="33" w:name="P2526"/>
      <w:bookmarkStart w:id="34" w:name="P2529"/>
      <w:bookmarkStart w:id="35" w:name="P2530"/>
      <w:bookmarkStart w:id="36" w:name="P2531"/>
      <w:bookmarkStart w:id="37" w:name="P2546"/>
      <w:bookmarkStart w:id="38" w:name="P2566"/>
      <w:bookmarkStart w:id="39" w:name="P2616"/>
      <w:bookmarkStart w:id="40" w:name="P2736"/>
      <w:bookmarkStart w:id="41" w:name="P2746"/>
      <w:bookmarkStart w:id="42" w:name="P2945"/>
      <w:bookmarkStart w:id="43" w:name="P2527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Normal"/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ОБРАЗЕЦ</w:t>
      </w:r>
    </w:p>
    <w:p>
      <w:pPr>
        <w:pStyle w:val="Normal"/>
        <w:ind w:left="5811" w:firstLine="720"/>
        <w:jc w:val="right"/>
        <w:rPr>
          <w:sz w:val="20"/>
          <w:szCs w:val="20"/>
        </w:rPr>
      </w:pPr>
      <w:r>
        <w:rPr/>
        <w:t xml:space="preserve"> </w:t>
      </w:r>
      <w:r>
        <w:rPr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к Требования к составлению сметной документации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1"/>
        <w:gridCol w:w="1702"/>
        <w:gridCol w:w="2124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br w:type="page"/>
      </w:r>
    </w:p>
    <w:p>
      <w:pPr>
        <w:pStyle w:val="Normal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к Требования к составлению сметной документации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207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ind w:left="5811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 </w:t>
      </w:r>
    </w:p>
    <w:p>
      <w:pPr>
        <w:pStyle w:val="Normal"/>
        <w:ind w:left="5811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firstLine="10348"/>
        <w:rPr>
          <w:sz w:val="22"/>
          <w:szCs w:val="22"/>
        </w:rPr>
      </w:pPr>
      <w:r>
        <w:rPr>
          <w:sz w:val="22"/>
          <w:szCs w:val="22"/>
        </w:rPr>
        <w:t xml:space="preserve">к Требования к составлению </w:t>
      </w:r>
    </w:p>
    <w:p>
      <w:pPr>
        <w:pStyle w:val="Normal"/>
        <w:ind w:firstLine="10348"/>
        <w:rPr>
          <w:b/>
          <w:color w:val="000000"/>
          <w:sz w:val="20"/>
          <w:szCs w:val="20"/>
        </w:rPr>
      </w:pPr>
      <w:r>
        <w:rPr>
          <w:sz w:val="22"/>
          <w:szCs w:val="22"/>
        </w:rPr>
        <w:t xml:space="preserve">сметной документации </w:t>
      </w:r>
    </w:p>
    <w:p>
      <w:pPr>
        <w:pStyle w:val="Normal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ОБРАЗЕЦ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75"/>
        <w:gridCol w:w="1699"/>
        <w:gridCol w:w="568"/>
        <w:gridCol w:w="2305"/>
        <w:gridCol w:w="805"/>
        <w:gridCol w:w="1042"/>
        <w:gridCol w:w="630"/>
        <w:gridCol w:w="852"/>
        <w:gridCol w:w="1163"/>
        <w:gridCol w:w="631"/>
        <w:gridCol w:w="754"/>
        <w:gridCol w:w="1207"/>
        <w:gridCol w:w="160"/>
        <w:gridCol w:w="646"/>
        <w:gridCol w:w="205"/>
        <w:gridCol w:w="1272"/>
        <w:gridCol w:w="205"/>
        <w:gridCol w:w="645"/>
      </w:tblGrid>
      <w:tr>
        <w:trPr>
          <w:trHeight w:val="285" w:hRule="atLeast"/>
        </w:trPr>
        <w:tc>
          <w:tcPr>
            <w:tcW w:w="334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305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244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5647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75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10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13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77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568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34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1672" w:type="dxa"/>
            <w:gridSpan w:val="1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3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11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13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014" w:type="dxa"/>
            <w:gridSpan w:val="16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5014" w:type="dxa"/>
            <w:gridSpan w:val="1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5014" w:type="dxa"/>
            <w:gridSpan w:val="16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80" w:hRule="atLeast"/>
        </w:trPr>
        <w:tc>
          <w:tcPr>
            <w:tcW w:w="15014" w:type="dxa"/>
            <w:gridSpan w:val="1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6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cs="Arial" w:ascii="Arial" w:hAnsi="Arial"/>
                <w:b/>
                <w:bCs/>
                <w:color w:val="000000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014" w:type="dxa"/>
            <w:gridSpan w:val="1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5014" w:type="dxa"/>
            <w:gridSpan w:val="16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69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3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419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19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3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 уровне цен </w:t>
            </w:r>
          </w:p>
        </w:tc>
        <w:tc>
          <w:tcPr>
            <w:tcW w:w="23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77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05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27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13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27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13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27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13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0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03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7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1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36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4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</w:t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29" w:hRule="atLeast"/>
        </w:trPr>
        <w:tc>
          <w:tcPr>
            <w:tcW w:w="10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6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67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 измерения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1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 единицу измерения в базисном уровне цен 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 еденицу измерения в текущем уровне цен 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цен, руб.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  <w:tc>
          <w:tcPr>
            <w:tcW w:w="20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7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7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           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ind w:right="1109" w:firstLine="72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45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sectPr>
          <w:type w:val="nextPage"/>
          <w:pgSz w:orient="landscape" w:w="16838" w:h="11906"/>
          <w:pgMar w:left="720" w:right="253" w:gutter="0" w:header="0" w:top="426" w:footer="0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firstLine="72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rPr>
          <w:b/>
        </w:rPr>
      </w:pPr>
      <w:r>
        <w:rPr>
          <w:b/>
        </w:rPr>
        <w:t xml:space="preserve">Образец расчета командировочных расходов </w:t>
      </w:r>
    </w:p>
    <w:p>
      <w:pPr>
        <w:pStyle w:val="Normal"/>
        <w:ind w:hanging="567"/>
        <w:jc w:val="right"/>
        <w:rPr/>
      </w:pPr>
      <w:r>
        <w:rPr/>
        <w:t>Приложение № __ к смете № __</w:t>
      </w:r>
    </w:p>
    <w:p>
      <w:pPr>
        <w:pStyle w:val="Normal"/>
        <w:ind w:hanging="567"/>
        <w:jc w:val="center"/>
        <w:rPr>
          <w:b/>
        </w:rPr>
      </w:pPr>
      <w:r>
        <w:rPr>
          <w:b/>
        </w:rPr>
        <w:t>Расчет командировочных расходов</w:t>
      </w:r>
    </w:p>
    <w:tbl>
      <w:tblPr>
        <w:tblW w:w="10661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5"/>
        <w:gridCol w:w="142"/>
        <w:gridCol w:w="991"/>
        <w:gridCol w:w="710"/>
        <w:gridCol w:w="1275"/>
        <w:gridCol w:w="709"/>
        <w:gridCol w:w="1442"/>
        <w:gridCol w:w="1310"/>
        <w:gridCol w:w="935"/>
        <w:gridCol w:w="1133"/>
        <w:gridCol w:w="1558"/>
      </w:tblGrid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</w:t>
            </w:r>
            <w:r>
              <w:rPr>
                <w:lang w:val="en-US"/>
              </w:rPr>
              <w:t>/</w:t>
            </w:r>
            <w:r>
              <w:rPr/>
              <w:t>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 w:type="textWrapping" w:clear="all"/>
            </w:r>
            <w:r>
              <w:rPr>
                <w:sz w:val="20"/>
                <w:szCs w:val="20"/>
              </w:rPr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командировок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6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Фигур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3" path="m0,0l-2147483645,0l-2147483645,-2147483646l0,-2147483646xe" fillcolor="white" stroked="t" o:allowincell="f" style="position:absolute;margin-left:0.05pt;margin-top:0.05pt;width:49.95pt;height:49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  <w:object>
          <v:shapetype id="_x0000_tole_rId7" coordsize="21600,21600" o:spt="ole_rId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76.5pt;height:49.5pt;mso-wrap-distance-right:0pt" filled="f" o:ole="">
            <v:imagedata r:id="rId8" o:title=""/>
          </v:shape>
          <o:OLEObject Type="Embed" ProgID="Excel.Sheet.12" ShapeID="ole_rId7" DrawAspect="Icon" ObjectID="_585205861" r:id="rId7"/>
        </w:object>
      </w:r>
    </w:p>
    <w:sectPr>
      <w:headerReference w:type="even" r:id="rId9"/>
      <w:headerReference w:type="default" r:id="rId10"/>
      <w:headerReference w:type="first" r:id="rId11"/>
      <w:type w:val="nextPage"/>
      <w:pgSz w:w="11906" w:h="16838"/>
      <w:pgMar w:left="1134" w:right="851" w:gutter="0" w:header="680" w:top="737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28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0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3"/>
      </w:numPr>
      <w:spacing w:lineRule="auto" w:line="360"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1" w:customStyle="1">
    <w:name w:val="Нижний колонтитул Знак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2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3" w:customStyle="1">
    <w:name w:val="Название Знак"/>
    <w:link w:val="15"/>
    <w:uiPriority w:val="10"/>
    <w:qFormat/>
    <w:rPr>
      <w:sz w:val="28"/>
    </w:rPr>
  </w:style>
  <w:style w:type="character" w:styleId="Style4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5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6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rPr>
      <w:sz w:val="28"/>
    </w:rPr>
  </w:style>
  <w:style w:type="character" w:styleId="Style7" w:customStyle="1">
    <w:name w:val="Текст сноски Знак"/>
    <w:uiPriority w:val="99"/>
    <w:qFormat/>
    <w:rPr/>
  </w:style>
  <w:style w:type="character" w:styleId="Style8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9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Подподпункт Знак"/>
    <w:link w:val="Style30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2" w:customStyle="1">
    <w:name w:val="Верхний колонтитул Знак"/>
    <w:uiPriority w:val="99"/>
    <w:qFormat/>
    <w:rPr>
      <w:sz w:val="24"/>
      <w:szCs w:val="24"/>
    </w:rPr>
  </w:style>
  <w:style w:type="character" w:styleId="Style13" w:customStyle="1">
    <w:name w:val="Текст примечания Знак"/>
    <w:link w:val="Annotationtext"/>
    <w:qFormat/>
    <w:rPr/>
  </w:style>
  <w:style w:type="character" w:styleId="Style14" w:customStyle="1">
    <w:name w:val="Текст концевой сноски Знак"/>
    <w:basedOn w:val="DefaultParagraphFont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5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23" w:customStyle="1">
    <w:name w:val="Основной текст (2)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sz w:val="24"/>
      <w:szCs w:val="24"/>
      <w:u w:val="none"/>
      <w:lang w:val="ru-RU" w:eastAsia="ru-RU" w:bidi="ru-RU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character" w:styleId="ConsPlusNormal" w:customStyle="1">
    <w:name w:val="ConsPlusNormal Знак"/>
    <w:link w:val="ConsPlusNormal1"/>
    <w:qFormat/>
    <w:rPr>
      <w:rFonts w:ascii="Arial" w:hAnsi="Arial" w:cs="Arial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8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8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9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7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3"/>
    <w:uiPriority w:val="10"/>
    <w:qFormat/>
    <w:pPr>
      <w:jc w:val="center"/>
    </w:pPr>
    <w:rPr>
      <w:szCs w:val="20"/>
    </w:rPr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pPr/>
    <w:rPr/>
  </w:style>
  <w:style w:type="paragraph" w:styleId="Style24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3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9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5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6"/>
    <w:uiPriority w:val="99"/>
    <w:unhideWhenUsed/>
    <w:qFormat/>
    <w:pPr/>
    <w:rPr>
      <w:rFonts w:eastAsia="Calibri"/>
      <w:sz w:val="24"/>
      <w:szCs w:val="24"/>
    </w:rPr>
  </w:style>
  <w:style w:type="paragraph" w:styleId="Style26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1" w:customStyle="1">
    <w:name w:val="ConsPlusNormal"/>
    <w:link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9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1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1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Style14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3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4" w:customStyle="1">
    <w:name w:val="Пункт Знак"/>
    <w:basedOn w:val="Normal"/>
    <w:qFormat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35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0" w:customStyle="1">
    <w:name w:val="Пункт1"/>
    <w:basedOn w:val="Normal"/>
    <w:qFormat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Style3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</w:style>
  <w:style w:type="numbering" w:styleId="210" w:customStyle="1">
    <w:name w:val="Стиль2"/>
    <w:uiPriority w:val="99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3">
    <w:name w:val="Plain Table 1"/>
    <w:basedOn w:val="a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5">
    <w:name w:val="Plain Table 2"/>
    <w:basedOn w:val="a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3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af4">
    <w:name w:val="Table Grid"/>
    <w:basedOn w:val="a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d">
    <w:name w:val="Сетка таблицы1"/>
    <w:basedOn w:val="a5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package" Target="embeddings/oleObject1.xlsx"/><Relationship Id="rId4" Type="http://schemas.openxmlformats.org/officeDocument/2006/relationships/image" Target="media/image2.wmf"/><Relationship Id="rId5" Type="http://schemas.openxmlformats.org/officeDocument/2006/relationships/package" Target="embeddings/oleObject2.xlsx"/><Relationship Id="rId6" Type="http://schemas.openxmlformats.org/officeDocument/2006/relationships/image" Target="media/image3.wmf"/><Relationship Id="rId7" Type="http://schemas.openxmlformats.org/officeDocument/2006/relationships/package" Target="embeddings/oleObject3.xlsx"/><Relationship Id="rId8" Type="http://schemas.openxmlformats.org/officeDocument/2006/relationships/image" Target="media/image4.wmf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48664-3F90-4805-A7AE-97BAD57A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DocSecurity>4</DocSecurity>
  <Pages>12</Pages>
  <Words>2215</Words>
  <Characters>14254</Characters>
  <CharactersWithSpaces>16532</CharactersWithSpaces>
  <Paragraphs>491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2026-04-05T22:46:00Z</dcterms:created>
  <dc:creator>Быстров Олег Геннадьевич</dc:creator>
  <dc:description/>
  <dc:language>ru-RU</dc:language>
  <cp:lastModifiedBy>erdyneeva_ag@DGK.RU</cp:lastModifiedBy>
  <dcterms:modified xsi:type="dcterms:W3CDTF">2026-04-15T10:16:59Z</dcterms:modified>
  <cp:revision>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